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B6E0" w14:textId="77777777" w:rsidR="00652C6E" w:rsidRDefault="00652C6E" w:rsidP="00652C6E">
      <w:pPr>
        <w:jc w:val="center"/>
      </w:pPr>
      <w:r>
        <w:rPr>
          <w:noProof/>
        </w:rPr>
        <w:drawing>
          <wp:inline distT="0" distB="0" distL="0" distR="0" wp14:anchorId="0B2E505F" wp14:editId="0ACE0C81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E573D" w14:textId="77777777" w:rsidR="00652C6E" w:rsidRDefault="00652C6E" w:rsidP="00652C6E"/>
    <w:p w14:paraId="57258AEA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564F0A7C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3152268B" w14:textId="77777777" w:rsidR="00652C6E" w:rsidRPr="0039685D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14:paraId="379D60C3" w14:textId="77777777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14:paraId="2B95F082" w14:textId="717DDB26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საქართველოს 20</w:t>
      </w:r>
      <w:r w:rsidR="00D668F6">
        <w:rPr>
          <w:rFonts w:ascii="Sylfaen" w:hAnsi="Sylfaen"/>
          <w:b/>
          <w:bCs/>
          <w:sz w:val="36"/>
          <w:szCs w:val="36"/>
        </w:rPr>
        <w:t>2</w:t>
      </w:r>
      <w:r w:rsidR="00B210E0">
        <w:rPr>
          <w:rFonts w:ascii="Sylfaen" w:hAnsi="Sylfaen"/>
          <w:b/>
          <w:bCs/>
          <w:sz w:val="36"/>
          <w:szCs w:val="36"/>
          <w:lang w:val="ka-GE"/>
        </w:rPr>
        <w:t>2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>ბიუჯეტის</w:t>
      </w:r>
      <w:r w:rsidR="006B79C8">
        <w:rPr>
          <w:rFonts w:ascii="Sylfaen" w:hAnsi="Sylfaen"/>
          <w:b/>
          <w:bCs/>
          <w:sz w:val="36"/>
          <w:szCs w:val="36"/>
        </w:rPr>
        <w:t xml:space="preserve"> </w:t>
      </w:r>
      <w:r w:rsidR="00AB179C">
        <w:rPr>
          <w:rFonts w:ascii="Sylfaen" w:hAnsi="Sylfaen"/>
          <w:b/>
          <w:bCs/>
          <w:sz w:val="36"/>
          <w:szCs w:val="36"/>
        </w:rPr>
        <w:t>9</w:t>
      </w:r>
      <w:r w:rsidR="00050D0D">
        <w:rPr>
          <w:rFonts w:ascii="Sylfaen" w:hAnsi="Sylfaen"/>
          <w:b/>
          <w:bCs/>
          <w:sz w:val="36"/>
          <w:szCs w:val="36"/>
        </w:rPr>
        <w:t xml:space="preserve"> </w:t>
      </w:r>
      <w:r w:rsidR="00050D0D">
        <w:rPr>
          <w:rFonts w:ascii="Sylfaen" w:hAnsi="Sylfaen"/>
          <w:b/>
          <w:bCs/>
          <w:sz w:val="36"/>
          <w:szCs w:val="36"/>
          <w:lang w:val="ka-GE"/>
        </w:rPr>
        <w:t>თვ</w:t>
      </w:r>
      <w:r w:rsidR="006B79C8" w:rsidRPr="006B79C8">
        <w:rPr>
          <w:rFonts w:ascii="Sylfaen" w:hAnsi="Sylfaen"/>
          <w:b/>
          <w:bCs/>
          <w:sz w:val="36"/>
          <w:szCs w:val="36"/>
          <w:lang w:val="ka-GE"/>
        </w:rPr>
        <w:t>ის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 xml:space="preserve"> შესრულების მიმოხილვა </w:t>
      </w:r>
    </w:p>
    <w:p w14:paraId="323872A2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3A928EAA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2377D31F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6EB0B0D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213D3CE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DB156C3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75A30E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A132BB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1C80F9DA" w14:textId="77777777" w:rsidR="00652C6E" w:rsidRPr="00F84091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14:paraId="1AFDE907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14:paraId="19E17A4D" w14:textId="2CC87752" w:rsidR="00652C6E" w:rsidRPr="00B210E0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 w:rsidR="00D668F6">
        <w:rPr>
          <w:rFonts w:ascii="Sylfaen" w:hAnsi="Sylfaen"/>
          <w:b/>
          <w:bCs/>
          <w:sz w:val="28"/>
          <w:szCs w:val="28"/>
        </w:rPr>
        <w:t>2</w:t>
      </w:r>
      <w:r w:rsidR="00B210E0">
        <w:rPr>
          <w:rFonts w:ascii="Sylfaen" w:hAnsi="Sylfaen"/>
          <w:b/>
          <w:bCs/>
          <w:sz w:val="28"/>
          <w:szCs w:val="28"/>
          <w:lang w:val="ka-GE"/>
        </w:rPr>
        <w:t>2</w:t>
      </w:r>
    </w:p>
    <w:p w14:paraId="7A1D9DC2" w14:textId="77777777" w:rsidR="00652C6E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5D3A07BF" w14:textId="2A0BD1E0" w:rsidR="00652C6E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227F433C" w14:textId="77777777" w:rsidR="00DC01FE" w:rsidRDefault="00DC01F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668E9771" w14:textId="77777777" w:rsidR="001322B1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 w:cs="Sylfaen"/>
          <w:b/>
          <w:noProof/>
          <w:sz w:val="28"/>
          <w:szCs w:val="28"/>
          <w:lang w:val="pt-BR"/>
        </w:rPr>
        <w:lastRenderedPageBreak/>
        <w:t>თავი</w:t>
      </w:r>
      <w:r w:rsidR="001322B1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14:paraId="0754C9F5" w14:textId="77777777" w:rsidR="00D71170" w:rsidRPr="00185F45" w:rsidRDefault="00D71170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5AD471CD" w14:textId="702EDED9" w:rsidR="007E6BC3" w:rsidRDefault="006B79C8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>20</w:t>
      </w:r>
      <w:r w:rsidR="00DC01FE">
        <w:rPr>
          <w:rFonts w:ascii="Sylfaen" w:hAnsi="Sylfaen" w:cs="Sylfaen"/>
          <w:b/>
          <w:noProof/>
          <w:sz w:val="28"/>
          <w:szCs w:val="28"/>
          <w:lang w:val="pt-BR"/>
        </w:rPr>
        <w:t>2</w:t>
      </w:r>
      <w:r w:rsidR="00B210E0">
        <w:rPr>
          <w:rFonts w:ascii="Sylfaen" w:hAnsi="Sylfaen" w:cs="Sylfaen"/>
          <w:b/>
          <w:noProof/>
          <w:sz w:val="28"/>
          <w:szCs w:val="28"/>
          <w:lang w:val="ka-GE"/>
        </w:rPr>
        <w:t>2</w:t>
      </w: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წლის </w:t>
      </w:r>
      <w:r w:rsidR="00AB179C">
        <w:rPr>
          <w:rFonts w:ascii="Sylfaen" w:hAnsi="Sylfaen" w:cs="Sylfaen"/>
          <w:b/>
          <w:noProof/>
          <w:sz w:val="28"/>
          <w:szCs w:val="28"/>
        </w:rPr>
        <w:t>9</w:t>
      </w:r>
      <w:r w:rsidR="00050D0D">
        <w:rPr>
          <w:rFonts w:ascii="Sylfaen" w:hAnsi="Sylfaen" w:cs="Sylfaen"/>
          <w:b/>
          <w:noProof/>
          <w:sz w:val="28"/>
          <w:szCs w:val="28"/>
          <w:lang w:val="ka-GE"/>
        </w:rPr>
        <w:t xml:space="preserve"> თვ</w:t>
      </w: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>ის საქართველოს სახელმწიფო ბიუჯეტის შესრულების მაჩვენებლები</w:t>
      </w:r>
    </w:p>
    <w:p w14:paraId="231EAF59" w14:textId="77777777"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6B39B60E" w14:textId="313449AB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185F45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3DFAF8F7" w14:textId="602DFF62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10"/>
        <w:gridCol w:w="1840"/>
        <w:gridCol w:w="1637"/>
        <w:gridCol w:w="1513"/>
      </w:tblGrid>
      <w:tr w:rsidR="00AB179C" w14:paraId="12197C9E" w14:textId="77777777" w:rsidTr="00AB179C">
        <w:trPr>
          <w:trHeight w:val="900"/>
          <w:tblHeader/>
        </w:trPr>
        <w:tc>
          <w:tcPr>
            <w:tcW w:w="2667" w:type="pct"/>
            <w:shd w:val="clear" w:color="auto" w:fill="auto"/>
            <w:vAlign w:val="center"/>
            <w:hideMark/>
          </w:tcPr>
          <w:p w14:paraId="44CE4AEB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391CE1D4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24104E4B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</w:t>
            </w:r>
            <w:proofErr w:type="spellEnd"/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209869A4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AB179C" w14:paraId="2697DC12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76CE6A2C" w14:textId="77777777" w:rsidR="00AB179C" w:rsidRDefault="00AB179C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67CC23B3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10,739,541.2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1D8284D6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11,493,235.9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332ED46B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107.0%</w:t>
            </w:r>
          </w:p>
        </w:tc>
      </w:tr>
      <w:tr w:rsidR="00AB179C" w14:paraId="026516C9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2AE27828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გადასახადები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4D28534C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9,925,870.0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1F10705D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10,288,210.2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54B36CE3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103.7%</w:t>
            </w:r>
          </w:p>
        </w:tc>
      </w:tr>
      <w:tr w:rsidR="00AB179C" w14:paraId="653BB4EF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7B27DA15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42E65942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198,831.2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19FB0CAD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290,038.2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4F21F834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145.9%</w:t>
            </w:r>
          </w:p>
        </w:tc>
      </w:tr>
      <w:tr w:rsidR="00AB179C" w14:paraId="4CD1D3EE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3E99310E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15FBC612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614,840.0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76EA6E29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914,987.5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1A9121FE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148.8%</w:t>
            </w:r>
          </w:p>
        </w:tc>
      </w:tr>
      <w:tr w:rsidR="00AB179C" w14:paraId="2DDB4ECE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28BC3651" w14:textId="77777777" w:rsidR="00AB179C" w:rsidRDefault="00AB179C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577C87A2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10,945,656.9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5F6C3342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10,623,479.0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54F749E9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97.1%</w:t>
            </w:r>
          </w:p>
        </w:tc>
      </w:tr>
      <w:tr w:rsidR="00AB179C" w14:paraId="5DFA9B28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516B0289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114D2979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1,335,905.5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583CC96B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1,302,466.9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2F07EC22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97.5%</w:t>
            </w:r>
          </w:p>
        </w:tc>
      </w:tr>
      <w:tr w:rsidR="00AB179C" w14:paraId="65793C05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721F4052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33F36E1E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1,391,852.7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1CD45722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1,322,443.0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191F6BDA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95.0%</w:t>
            </w:r>
          </w:p>
        </w:tc>
      </w:tr>
      <w:tr w:rsidR="00AB179C" w14:paraId="24490731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77008400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69D4DB53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578,154.4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25EEEB93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567,989.2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59D039DF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98.2%</w:t>
            </w:r>
          </w:p>
        </w:tc>
      </w:tr>
      <w:tr w:rsidR="00AB179C" w14:paraId="0FADE12D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20A59AD9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0C324B94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555,534.3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008A30F4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503,154.6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5084BF5B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90.6%</w:t>
            </w:r>
          </w:p>
        </w:tc>
      </w:tr>
      <w:tr w:rsidR="00AB179C" w14:paraId="6B004DDF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1CA4357F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62A4FAD0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727,038.1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6E36E7CF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641,765.3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4B67DFC4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88.3%</w:t>
            </w:r>
          </w:p>
        </w:tc>
      </w:tr>
      <w:tr w:rsidR="00AB179C" w14:paraId="0237D2ED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05B864E4" w14:textId="77777777" w:rsidR="00AB179C" w:rsidRDefault="00AB179C">
            <w:pPr>
              <w:ind w:firstLineChars="200" w:firstLine="400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მათ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შორის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კაპიტალური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0E03427E" w14:textId="77777777" w:rsidR="00AB179C" w:rsidRDefault="00AB179C">
            <w:pPr>
              <w:jc w:val="center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492,582.9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2E1A9013" w14:textId="77777777" w:rsidR="00AB179C" w:rsidRDefault="00AB179C">
            <w:pPr>
              <w:jc w:val="center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422,986.2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4C15FA80" w14:textId="77777777" w:rsidR="00AB179C" w:rsidRDefault="00AB179C">
            <w:pPr>
              <w:jc w:val="center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85.9%</w:t>
            </w:r>
          </w:p>
        </w:tc>
      </w:tr>
      <w:tr w:rsidR="00AB179C" w14:paraId="2C70183F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32A37A15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სოციალური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448F4302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4,515,396.3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470A8A3A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4,496,734.6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7A65BF7D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AB179C" w14:paraId="06A7100C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635EE9D9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4B3E162E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1,841,775.6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27E5AF37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1,788,925.2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317F95EA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97.1%</w:t>
            </w:r>
          </w:p>
        </w:tc>
      </w:tr>
      <w:tr w:rsidR="00AB179C" w14:paraId="2F91EBA9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521F4E43" w14:textId="77777777" w:rsidR="00AB179C" w:rsidRDefault="00AB179C">
            <w:pPr>
              <w:ind w:firstLineChars="200" w:firstLine="400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მათ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შორის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კაპიტალური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160A3922" w14:textId="77777777" w:rsidR="00AB179C" w:rsidRDefault="00AB179C">
            <w:pPr>
              <w:jc w:val="center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716,893.5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213E8A32" w14:textId="77777777" w:rsidR="00AB179C" w:rsidRDefault="00AB179C">
            <w:pPr>
              <w:jc w:val="center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708,727.1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77486685" w14:textId="77777777" w:rsidR="00AB179C" w:rsidRDefault="00AB179C">
            <w:pPr>
              <w:jc w:val="center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98.9%</w:t>
            </w:r>
          </w:p>
        </w:tc>
      </w:tr>
      <w:tr w:rsidR="00AB179C" w14:paraId="6FBB48EB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0C0A893D" w14:textId="77777777" w:rsidR="00AB179C" w:rsidRDefault="00AB179C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საოპერაციო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0B3FB0A5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-206,115.7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2568685C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869,756.9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317850AA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-422.0%</w:t>
            </w:r>
          </w:p>
        </w:tc>
      </w:tr>
      <w:tr w:rsidR="00AB179C" w14:paraId="3CA38541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7EE9644A" w14:textId="77777777" w:rsidR="00AB179C" w:rsidRDefault="00AB179C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5AB97413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1,910,605.1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17A6ED39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1,961,595.6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79E761E5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102.7%</w:t>
            </w:r>
          </w:p>
        </w:tc>
      </w:tr>
      <w:tr w:rsidR="00AB179C" w14:paraId="10E3E94C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683BDA37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5B2F5462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2,104,605.1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41C51CBA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2,117,251.8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41EBDF57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100.6%</w:t>
            </w:r>
          </w:p>
        </w:tc>
      </w:tr>
      <w:tr w:rsidR="00AB179C" w14:paraId="303DF311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1279B02D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61685E3A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194,000.0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7BF3B387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155,656.1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4F3B47CA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80.2%</w:t>
            </w:r>
          </w:p>
        </w:tc>
      </w:tr>
      <w:tr w:rsidR="00AB179C" w14:paraId="09907EBD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53A28F1E" w14:textId="77777777" w:rsidR="00AB179C" w:rsidRDefault="00AB179C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მთლიანი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1E5957BA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-2,116,720.8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64874EA3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-1,091,838.8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35E0BBC7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51.6%</w:t>
            </w:r>
          </w:p>
        </w:tc>
      </w:tr>
      <w:tr w:rsidR="00AB179C" w14:paraId="4DDF7DF1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075ACA0B" w14:textId="77777777" w:rsidR="00AB179C" w:rsidRDefault="00AB179C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ფინასური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4105B002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-231,609.7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123E166B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387,560.0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72EECA9A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-167.3%</w:t>
            </w:r>
          </w:p>
        </w:tc>
      </w:tr>
      <w:tr w:rsidR="00AB179C" w14:paraId="740043D2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11EF541B" w14:textId="77777777" w:rsidR="00AB179C" w:rsidRDefault="00AB179C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257A4336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218,122.0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5E713952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492,140.0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38B0DC4D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225.6%</w:t>
            </w:r>
          </w:p>
        </w:tc>
      </w:tr>
      <w:tr w:rsidR="00AB179C" w14:paraId="525167F1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4936C4ED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552D98D4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514CE9F6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337,461.5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0EB86041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</w:p>
        </w:tc>
      </w:tr>
      <w:tr w:rsidR="00AB179C" w14:paraId="00A8A1C4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180D6996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55985B95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218,122.0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50FE56E4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154,678.5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48585B05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70.9%</w:t>
            </w:r>
          </w:p>
        </w:tc>
      </w:tr>
      <w:tr w:rsidR="00AB179C" w14:paraId="02E0B66B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60529299" w14:textId="77777777" w:rsidR="00AB179C" w:rsidRDefault="00AB179C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5ACEF2D7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449,731.7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5046FFB1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104,580.0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4ECBFE1E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23.3%</w:t>
            </w:r>
          </w:p>
        </w:tc>
      </w:tr>
      <w:tr w:rsidR="00AB179C" w14:paraId="731E5840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01C2E178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2C506DB9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353,731.7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248E145E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79B014E4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AB179C" w14:paraId="4846BD51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6E2C7EF7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3C0FC357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96,000.0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43C5B2F4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103,586.7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126F0606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107.9%</w:t>
            </w:r>
          </w:p>
        </w:tc>
      </w:tr>
      <w:tr w:rsidR="00AB179C" w14:paraId="16921A73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5CD99B8C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კაპიტალი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233142DF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33DF25E7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993.3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12BDCDF0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 </w:t>
            </w:r>
          </w:p>
        </w:tc>
      </w:tr>
      <w:tr w:rsidR="00AB179C" w14:paraId="0FCE7FAE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7E0D7255" w14:textId="77777777" w:rsidR="00AB179C" w:rsidRDefault="00AB179C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64E82ECC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1,885,111.1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3A583521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1,479,398.8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64FB17D7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78.5%</w:t>
            </w:r>
          </w:p>
        </w:tc>
      </w:tr>
      <w:tr w:rsidR="00AB179C" w14:paraId="4BE5A7BA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0004F142" w14:textId="77777777" w:rsidR="00AB179C" w:rsidRDefault="00AB179C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58A8298C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2,682,709.7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464EBF05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2,248,051.6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5602FE61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83.8%</w:t>
            </w:r>
          </w:p>
        </w:tc>
      </w:tr>
      <w:tr w:rsidR="00AB179C" w14:paraId="318B7835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44607844" w14:textId="77777777" w:rsidR="00AB179C" w:rsidRDefault="00AB179C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43F29F8C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1,296,000.0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4DDF8557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907,278.2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130B3F63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70.0%</w:t>
            </w:r>
          </w:p>
        </w:tc>
      </w:tr>
      <w:tr w:rsidR="00AB179C" w14:paraId="6B975DED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4E8F486B" w14:textId="64F0DD4F" w:rsidR="00AB179C" w:rsidRDefault="00AB179C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  <w:r w:rsidR="00AC3865">
              <w:rPr>
                <w:rFonts w:ascii="Sylfaen" w:hAnsi="Sylfaen" w:cs="Calibri"/>
                <w:color w:val="86008A"/>
                <w:sz w:val="20"/>
                <w:szCs w:val="20"/>
              </w:rPr>
              <w:t>*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69DA0F6E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1,296,000.0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6D8ED1A4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907,278.2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1B0D62E3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70.0%</w:t>
            </w:r>
          </w:p>
        </w:tc>
      </w:tr>
      <w:tr w:rsidR="00AB179C" w14:paraId="41F03E8E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28FB4788" w14:textId="77777777" w:rsidR="00AB179C" w:rsidRDefault="00AB179C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4AF3FEC1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1,386,709.7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0D80FD7F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1,340,773.4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28899A46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96.7%</w:t>
            </w:r>
          </w:p>
        </w:tc>
      </w:tr>
      <w:tr w:rsidR="00AB179C" w14:paraId="3F67F622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389CA03C" w14:textId="77777777" w:rsidR="00AB179C" w:rsidRDefault="00AB179C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6BBBDEAF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1,386,709.7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215AC4F4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1,340,773.4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32429557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96.7%</w:t>
            </w:r>
          </w:p>
        </w:tc>
      </w:tr>
      <w:tr w:rsidR="00AB179C" w14:paraId="671BDF69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125A53CA" w14:textId="77777777" w:rsidR="00AB179C" w:rsidRDefault="00AB179C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2E4D3344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797,598.6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62B48B19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768,652.8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43491E4A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96.4%</w:t>
            </w:r>
          </w:p>
        </w:tc>
      </w:tr>
      <w:tr w:rsidR="00AB179C" w14:paraId="7CE5EB6B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3356B9E1" w14:textId="77777777" w:rsidR="00AB179C" w:rsidRDefault="00AB179C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lastRenderedPageBreak/>
              <w:t>საშინაო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2125B472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34,854.4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3E884CBC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34,854.4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0DF4A18A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AB179C" w14:paraId="17489CA2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1B85623B" w14:textId="77777777" w:rsidR="00AB179C" w:rsidRDefault="00AB179C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67163CBC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32,000.0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5B24E730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32,000.0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31C6160C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AB179C" w14:paraId="418306D2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57ADB743" w14:textId="77777777" w:rsidR="00AB179C" w:rsidRDefault="00AB179C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3E5C58F6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2,854.4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77CDA41D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2,854.4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271DE911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AB179C" w14:paraId="6A1D74F2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5AA9715E" w14:textId="77777777" w:rsidR="00AB179C" w:rsidRDefault="00AB179C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316EFD23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762,744.2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09F20754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733,798.4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250FCC4D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96.2%</w:t>
            </w:r>
          </w:p>
        </w:tc>
      </w:tr>
      <w:tr w:rsidR="00AB179C" w14:paraId="71FC2321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071C52FE" w14:textId="77777777" w:rsidR="00AB179C" w:rsidRDefault="00AB179C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64A87D0A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757,480.0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2ED1CD43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728,534.2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41BC5B02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96.2%</w:t>
            </w:r>
          </w:p>
        </w:tc>
      </w:tr>
      <w:tr w:rsidR="00AB179C" w14:paraId="30C02727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70DCAD29" w14:textId="77777777" w:rsidR="00AB179C" w:rsidRDefault="00AB179C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კრედიტორული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დავალიანებები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5CEBE79E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5,264.2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61217DA0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5,264.2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5CDD4C2C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AB179C" w14:paraId="18C3CB8A" w14:textId="77777777" w:rsidTr="00AB179C">
        <w:trPr>
          <w:trHeight w:val="300"/>
        </w:trPr>
        <w:tc>
          <w:tcPr>
            <w:tcW w:w="2667" w:type="pct"/>
            <w:shd w:val="clear" w:color="auto" w:fill="auto"/>
            <w:vAlign w:val="center"/>
            <w:hideMark/>
          </w:tcPr>
          <w:p w14:paraId="56AABD9C" w14:textId="77777777" w:rsidR="00AB179C" w:rsidRDefault="00AB179C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ბალანსი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6F38FD95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78653D41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5EEBD7D4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</w:tbl>
    <w:p w14:paraId="5FAB42C5" w14:textId="77777777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525D253" w14:textId="17026DEE" w:rsidR="00D668F6" w:rsidRDefault="00D668F6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A2767D3" w14:textId="200B4DAC" w:rsidR="00083905" w:rsidRPr="00AC3865" w:rsidRDefault="00B210E0" w:rsidP="00083905">
      <w:pPr>
        <w:tabs>
          <w:tab w:val="left" w:pos="4590"/>
        </w:tabs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  <w:r w:rsidRPr="00AC3865">
        <w:rPr>
          <w:rFonts w:ascii="Sylfaen" w:hAnsi="Sylfaen"/>
          <w:i/>
          <w:noProof/>
          <w:sz w:val="18"/>
          <w:szCs w:val="18"/>
          <w:lang w:val="pt-BR"/>
        </w:rPr>
        <w:t xml:space="preserve">*შენიშვნა: </w:t>
      </w:r>
      <w:r w:rsidR="00083905" w:rsidRPr="00AC3865">
        <w:rPr>
          <w:rFonts w:ascii="Sylfaen" w:hAnsi="Sylfaen"/>
          <w:i/>
          <w:noProof/>
          <w:sz w:val="18"/>
          <w:szCs w:val="18"/>
          <w:lang w:val="pt-BR"/>
        </w:rPr>
        <w:t xml:space="preserve"> საანგარიშო პერიოდში სახაზინო ფასიანი ქაღალდების გამოშვებით მიღებულმა თანხამ </w:t>
      </w:r>
      <w:r w:rsidR="00AC3865" w:rsidRPr="00AC3865">
        <w:rPr>
          <w:rFonts w:ascii="Sylfaen" w:hAnsi="Sylfaen"/>
          <w:i/>
          <w:noProof/>
          <w:sz w:val="18"/>
          <w:szCs w:val="18"/>
          <w:lang w:val="pt-BR"/>
        </w:rPr>
        <w:t xml:space="preserve">1,897,774.4 </w:t>
      </w:r>
      <w:r w:rsidR="00083905" w:rsidRPr="00AC3865">
        <w:rPr>
          <w:rFonts w:ascii="Sylfaen" w:hAnsi="Sylfaen"/>
          <w:i/>
          <w:noProof/>
          <w:sz w:val="18"/>
          <w:szCs w:val="18"/>
          <w:lang w:val="pt-BR"/>
        </w:rPr>
        <w:t xml:space="preserve">ათასი ლარი, ხოლო ძირითადი თანხის დაფარვამ </w:t>
      </w:r>
      <w:r w:rsidR="00AC3865" w:rsidRPr="00AC3865">
        <w:rPr>
          <w:rFonts w:ascii="Sylfaen" w:hAnsi="Sylfaen"/>
          <w:i/>
          <w:noProof/>
          <w:sz w:val="18"/>
          <w:szCs w:val="18"/>
          <w:lang w:val="pt-BR"/>
        </w:rPr>
        <w:t xml:space="preserve">990,496.2 </w:t>
      </w:r>
      <w:r w:rsidR="00083905" w:rsidRPr="00AC3865">
        <w:rPr>
          <w:rFonts w:ascii="Sylfaen" w:hAnsi="Sylfaen"/>
          <w:i/>
          <w:noProof/>
          <w:sz w:val="18"/>
          <w:szCs w:val="18"/>
          <w:lang w:val="pt-BR"/>
        </w:rPr>
        <w:t xml:space="preserve">ათასი ლარი შეადგინა. სახაზინო ვალდებულებების და სახაზინო ობლიგაციების გამოშვების შედეგად, საშინაო ვალდებულების ზრდამ შეადგინა </w:t>
      </w:r>
      <w:r w:rsidR="00AC3865" w:rsidRPr="00AC3865">
        <w:rPr>
          <w:rFonts w:ascii="Sylfaen" w:hAnsi="Sylfaen"/>
          <w:i/>
          <w:noProof/>
          <w:sz w:val="18"/>
          <w:szCs w:val="18"/>
          <w:lang w:val="pt-BR"/>
        </w:rPr>
        <w:t>907,278.2</w:t>
      </w:r>
      <w:r w:rsidR="00083905" w:rsidRPr="00AC3865">
        <w:rPr>
          <w:rFonts w:ascii="Sylfaen" w:hAnsi="Sylfaen"/>
          <w:i/>
          <w:noProof/>
          <w:sz w:val="18"/>
          <w:szCs w:val="18"/>
          <w:lang w:val="pt-BR"/>
        </w:rPr>
        <w:t xml:space="preserve"> ათასი ლარი.</w:t>
      </w:r>
    </w:p>
    <w:p w14:paraId="651CF520" w14:textId="77777777" w:rsidR="00626214" w:rsidRDefault="00626214" w:rsidP="00D402A4">
      <w:pPr>
        <w:tabs>
          <w:tab w:val="left" w:pos="4590"/>
        </w:tabs>
        <w:ind w:right="-90"/>
        <w:jc w:val="both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161B54F0" w14:textId="77777777" w:rsidR="00885245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14:paraId="3196303D" w14:textId="50197E71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50BE184B" w14:textId="27B6CB44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10"/>
        <w:gridCol w:w="1840"/>
        <w:gridCol w:w="1637"/>
        <w:gridCol w:w="1513"/>
      </w:tblGrid>
      <w:tr w:rsidR="00AB179C" w14:paraId="05D94CC2" w14:textId="77777777" w:rsidTr="00921DC5">
        <w:trPr>
          <w:trHeight w:val="900"/>
          <w:tblHeader/>
        </w:trPr>
        <w:tc>
          <w:tcPr>
            <w:tcW w:w="2668" w:type="pct"/>
            <w:shd w:val="clear" w:color="auto" w:fill="auto"/>
            <w:vAlign w:val="center"/>
            <w:hideMark/>
          </w:tcPr>
          <w:p w14:paraId="0030BF32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692383EE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12892618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</w:t>
            </w:r>
            <w:proofErr w:type="spellEnd"/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32872669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AB179C" w14:paraId="20C3FA33" w14:textId="77777777" w:rsidTr="00921DC5">
        <w:trPr>
          <w:trHeight w:val="300"/>
        </w:trPr>
        <w:tc>
          <w:tcPr>
            <w:tcW w:w="2668" w:type="pct"/>
            <w:shd w:val="clear" w:color="auto" w:fill="auto"/>
            <w:vAlign w:val="center"/>
            <w:hideMark/>
          </w:tcPr>
          <w:p w14:paraId="7C62744E" w14:textId="77777777" w:rsidR="00AB179C" w:rsidRDefault="00AB179C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6814DFA0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13,712,250.9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03D3F0BE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14,001,523.6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74C766E9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102.1%</w:t>
            </w:r>
          </w:p>
        </w:tc>
      </w:tr>
      <w:tr w:rsidR="00AB179C" w14:paraId="77D83D95" w14:textId="77777777" w:rsidTr="00921DC5">
        <w:trPr>
          <w:trHeight w:val="300"/>
        </w:trPr>
        <w:tc>
          <w:tcPr>
            <w:tcW w:w="2668" w:type="pct"/>
            <w:shd w:val="clear" w:color="auto" w:fill="auto"/>
            <w:vAlign w:val="center"/>
            <w:hideMark/>
          </w:tcPr>
          <w:p w14:paraId="19622C41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66487627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10,739,541.2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04E9AD62" w14:textId="7830282A" w:rsidR="00AB179C" w:rsidRDefault="00386589" w:rsidP="00386589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11,493,235.9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13AD3BB5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107.0%</w:t>
            </w:r>
          </w:p>
        </w:tc>
      </w:tr>
      <w:tr w:rsidR="00AB179C" w14:paraId="1790252C" w14:textId="77777777" w:rsidTr="00921DC5">
        <w:trPr>
          <w:trHeight w:val="300"/>
        </w:trPr>
        <w:tc>
          <w:tcPr>
            <w:tcW w:w="2668" w:type="pct"/>
            <w:shd w:val="clear" w:color="auto" w:fill="auto"/>
            <w:vAlign w:val="center"/>
            <w:hideMark/>
          </w:tcPr>
          <w:p w14:paraId="3DBF6B20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737D76F9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194,000.0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2F4A322F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155,656.1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4C73F523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80.2%</w:t>
            </w:r>
          </w:p>
        </w:tc>
      </w:tr>
      <w:tr w:rsidR="00AB179C" w14:paraId="42F667F7" w14:textId="77777777" w:rsidTr="00921DC5">
        <w:trPr>
          <w:trHeight w:val="300"/>
        </w:trPr>
        <w:tc>
          <w:tcPr>
            <w:tcW w:w="2668" w:type="pct"/>
            <w:shd w:val="clear" w:color="auto" w:fill="auto"/>
            <w:vAlign w:val="center"/>
            <w:hideMark/>
          </w:tcPr>
          <w:p w14:paraId="0FEEBA37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546A906B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96,000.0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17333ACE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104,580.0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2363B3D3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108.9%</w:t>
            </w:r>
          </w:p>
        </w:tc>
      </w:tr>
      <w:tr w:rsidR="00AB179C" w14:paraId="3CD8EC54" w14:textId="77777777" w:rsidTr="00921DC5">
        <w:trPr>
          <w:trHeight w:val="300"/>
        </w:trPr>
        <w:tc>
          <w:tcPr>
            <w:tcW w:w="2668" w:type="pct"/>
            <w:shd w:val="clear" w:color="auto" w:fill="auto"/>
            <w:vAlign w:val="center"/>
            <w:hideMark/>
          </w:tcPr>
          <w:p w14:paraId="01FF3F0F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3822CB23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2,682,709.7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29D7C965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2,248,051.6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565603B4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83.8%</w:t>
            </w:r>
          </w:p>
        </w:tc>
      </w:tr>
      <w:tr w:rsidR="00AB179C" w14:paraId="18797302" w14:textId="77777777" w:rsidTr="00921DC5">
        <w:trPr>
          <w:trHeight w:val="300"/>
        </w:trPr>
        <w:tc>
          <w:tcPr>
            <w:tcW w:w="2668" w:type="pct"/>
            <w:shd w:val="clear" w:color="auto" w:fill="auto"/>
            <w:vAlign w:val="center"/>
            <w:hideMark/>
          </w:tcPr>
          <w:p w14:paraId="68EF277B" w14:textId="77777777" w:rsidR="00AB179C" w:rsidRDefault="00AB179C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39CA9923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14,065,982.6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2C61AC6E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13,664,062.1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3A20D433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97.1%</w:t>
            </w:r>
          </w:p>
        </w:tc>
      </w:tr>
      <w:tr w:rsidR="00AB179C" w14:paraId="41971A5C" w14:textId="77777777" w:rsidTr="00921DC5">
        <w:trPr>
          <w:trHeight w:val="300"/>
        </w:trPr>
        <w:tc>
          <w:tcPr>
            <w:tcW w:w="2668" w:type="pct"/>
            <w:shd w:val="clear" w:color="auto" w:fill="auto"/>
            <w:vAlign w:val="center"/>
            <w:hideMark/>
          </w:tcPr>
          <w:p w14:paraId="063DDC56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0E3A8319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10,945,656.9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75C3FDDE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10,623,479.0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7AEF18CB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97.1%</w:t>
            </w:r>
          </w:p>
        </w:tc>
      </w:tr>
      <w:tr w:rsidR="00AB179C" w14:paraId="0A581451" w14:textId="77777777" w:rsidTr="00921DC5">
        <w:trPr>
          <w:trHeight w:val="300"/>
        </w:trPr>
        <w:tc>
          <w:tcPr>
            <w:tcW w:w="2668" w:type="pct"/>
            <w:shd w:val="clear" w:color="auto" w:fill="auto"/>
            <w:vAlign w:val="center"/>
            <w:hideMark/>
          </w:tcPr>
          <w:p w14:paraId="5CDB0394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59251B88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2,104,605.1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7F9E1747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2,117,251.8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6EF00E0E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100.6%</w:t>
            </w:r>
          </w:p>
        </w:tc>
      </w:tr>
      <w:tr w:rsidR="00AB179C" w14:paraId="3565A958" w14:textId="77777777" w:rsidTr="00921DC5">
        <w:trPr>
          <w:trHeight w:val="300"/>
        </w:trPr>
        <w:tc>
          <w:tcPr>
            <w:tcW w:w="2668" w:type="pct"/>
            <w:shd w:val="clear" w:color="auto" w:fill="auto"/>
            <w:vAlign w:val="center"/>
            <w:hideMark/>
          </w:tcPr>
          <w:p w14:paraId="70102A2F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372F4735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218,122.0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2BCB9917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154,678.5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3CBCE338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70.9%</w:t>
            </w:r>
          </w:p>
        </w:tc>
      </w:tr>
      <w:tr w:rsidR="00AB179C" w14:paraId="6367EA4C" w14:textId="77777777" w:rsidTr="00921DC5">
        <w:trPr>
          <w:trHeight w:val="300"/>
        </w:trPr>
        <w:tc>
          <w:tcPr>
            <w:tcW w:w="2668" w:type="pct"/>
            <w:shd w:val="clear" w:color="auto" w:fill="auto"/>
            <w:vAlign w:val="center"/>
            <w:hideMark/>
          </w:tcPr>
          <w:p w14:paraId="181E722F" w14:textId="77777777" w:rsidR="00AB179C" w:rsidRDefault="00AB179C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630F270D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797,598.6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5759FD7B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768,652.8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325E36C5" w14:textId="77777777" w:rsidR="00AB179C" w:rsidRDefault="00AB179C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96.4%</w:t>
            </w:r>
          </w:p>
        </w:tc>
      </w:tr>
      <w:tr w:rsidR="00AB179C" w14:paraId="498D4925" w14:textId="77777777" w:rsidTr="00921DC5">
        <w:trPr>
          <w:trHeight w:val="300"/>
        </w:trPr>
        <w:tc>
          <w:tcPr>
            <w:tcW w:w="2668" w:type="pct"/>
            <w:shd w:val="clear" w:color="auto" w:fill="auto"/>
            <w:vAlign w:val="center"/>
            <w:hideMark/>
          </w:tcPr>
          <w:p w14:paraId="2494516F" w14:textId="77777777" w:rsidR="00AB179C" w:rsidRDefault="00AB179C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6904D169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-353,731.7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78E28AEC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337,461.5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14:paraId="25F88183" w14:textId="77777777" w:rsidR="00AB179C" w:rsidRDefault="00AB179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-95.4%</w:t>
            </w:r>
          </w:p>
        </w:tc>
      </w:tr>
    </w:tbl>
    <w:p w14:paraId="306FB811" w14:textId="48F523F1" w:rsidR="00A30550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F709E20" w14:textId="77777777" w:rsidR="00A30550" w:rsidRPr="00776AEE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bookmarkStart w:id="0" w:name="_GoBack"/>
      <w:bookmarkEnd w:id="0"/>
    </w:p>
    <w:p w14:paraId="0E37BBDA" w14:textId="77777777" w:rsidR="00885245" w:rsidRPr="00D32159" w:rsidRDefault="00885245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885245" w:rsidRPr="00D32159" w:rsidSect="00D71170">
      <w:footerReference w:type="even" r:id="rId8"/>
      <w:footerReference w:type="default" r:id="rId9"/>
      <w:pgSz w:w="12240" w:h="15840"/>
      <w:pgMar w:top="720" w:right="72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64E8B" w14:textId="77777777" w:rsidR="00F04248" w:rsidRDefault="00F04248">
      <w:r>
        <w:separator/>
      </w:r>
    </w:p>
  </w:endnote>
  <w:endnote w:type="continuationSeparator" w:id="0">
    <w:p w14:paraId="785C97AC" w14:textId="77777777" w:rsidR="00F04248" w:rsidRDefault="00F0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altName w:val="Arial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7D38" w14:textId="77777777" w:rsidR="00267CE1" w:rsidRDefault="00267CE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7056" w14:textId="77777777" w:rsidR="00267CE1" w:rsidRDefault="00267CE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BBD0" w14:textId="1894D5C1" w:rsidR="00267CE1" w:rsidRDefault="00267C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6589">
      <w:rPr>
        <w:noProof/>
      </w:rPr>
      <w:t>3</w:t>
    </w:r>
    <w:r>
      <w:rPr>
        <w:noProof/>
      </w:rPr>
      <w:fldChar w:fldCharType="end"/>
    </w:r>
  </w:p>
  <w:p w14:paraId="69DCE317" w14:textId="77777777" w:rsidR="00267CE1" w:rsidRDefault="00267CE1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6911C" w14:textId="77777777" w:rsidR="00F04248" w:rsidRDefault="00F04248">
      <w:r>
        <w:separator/>
      </w:r>
    </w:p>
  </w:footnote>
  <w:footnote w:type="continuationSeparator" w:id="0">
    <w:p w14:paraId="4A5F4E23" w14:textId="77777777" w:rsidR="00F04248" w:rsidRDefault="00F0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1"/>
    <w:rsid w:val="00000BAC"/>
    <w:rsid w:val="00001196"/>
    <w:rsid w:val="00002D7D"/>
    <w:rsid w:val="00012D23"/>
    <w:rsid w:val="00027F05"/>
    <w:rsid w:val="00040F37"/>
    <w:rsid w:val="00050D0D"/>
    <w:rsid w:val="00051D0D"/>
    <w:rsid w:val="0005206E"/>
    <w:rsid w:val="00064ADD"/>
    <w:rsid w:val="00083905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038F"/>
    <w:rsid w:val="00172D08"/>
    <w:rsid w:val="00174103"/>
    <w:rsid w:val="00177D45"/>
    <w:rsid w:val="00185F45"/>
    <w:rsid w:val="0018751E"/>
    <w:rsid w:val="001A5533"/>
    <w:rsid w:val="001B3125"/>
    <w:rsid w:val="001B62EE"/>
    <w:rsid w:val="001B75A1"/>
    <w:rsid w:val="001C64D6"/>
    <w:rsid w:val="001C7E32"/>
    <w:rsid w:val="001D152F"/>
    <w:rsid w:val="001D45A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67CE1"/>
    <w:rsid w:val="00287DF1"/>
    <w:rsid w:val="002B2E3C"/>
    <w:rsid w:val="002B78B1"/>
    <w:rsid w:val="002C3AF9"/>
    <w:rsid w:val="002C79A8"/>
    <w:rsid w:val="002D01DA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81BDD"/>
    <w:rsid w:val="00383F86"/>
    <w:rsid w:val="00386589"/>
    <w:rsid w:val="00390A55"/>
    <w:rsid w:val="00394B5D"/>
    <w:rsid w:val="003A4615"/>
    <w:rsid w:val="003C4559"/>
    <w:rsid w:val="003C49A9"/>
    <w:rsid w:val="003D0151"/>
    <w:rsid w:val="003D6681"/>
    <w:rsid w:val="003E52D2"/>
    <w:rsid w:val="003F07EC"/>
    <w:rsid w:val="003F0D9B"/>
    <w:rsid w:val="003F0FE5"/>
    <w:rsid w:val="003F3F2F"/>
    <w:rsid w:val="00400B84"/>
    <w:rsid w:val="00407E7B"/>
    <w:rsid w:val="00413797"/>
    <w:rsid w:val="004250C8"/>
    <w:rsid w:val="00431C48"/>
    <w:rsid w:val="00434D4A"/>
    <w:rsid w:val="0044358D"/>
    <w:rsid w:val="0044494C"/>
    <w:rsid w:val="00446A42"/>
    <w:rsid w:val="004552CA"/>
    <w:rsid w:val="00460453"/>
    <w:rsid w:val="004651CC"/>
    <w:rsid w:val="004654B7"/>
    <w:rsid w:val="0047215B"/>
    <w:rsid w:val="0047670D"/>
    <w:rsid w:val="0047735E"/>
    <w:rsid w:val="004828F2"/>
    <w:rsid w:val="0048644F"/>
    <w:rsid w:val="004B2B62"/>
    <w:rsid w:val="004C4F17"/>
    <w:rsid w:val="004E7B74"/>
    <w:rsid w:val="004F3D40"/>
    <w:rsid w:val="00511CEC"/>
    <w:rsid w:val="005316BC"/>
    <w:rsid w:val="0053556F"/>
    <w:rsid w:val="00545297"/>
    <w:rsid w:val="005531DE"/>
    <w:rsid w:val="00564558"/>
    <w:rsid w:val="005702C8"/>
    <w:rsid w:val="0057122F"/>
    <w:rsid w:val="00571979"/>
    <w:rsid w:val="005B0918"/>
    <w:rsid w:val="005B6FDA"/>
    <w:rsid w:val="005D77D7"/>
    <w:rsid w:val="005E4481"/>
    <w:rsid w:val="005F6E87"/>
    <w:rsid w:val="005F6FEF"/>
    <w:rsid w:val="0060060F"/>
    <w:rsid w:val="0060447B"/>
    <w:rsid w:val="006142D5"/>
    <w:rsid w:val="0062284F"/>
    <w:rsid w:val="00623050"/>
    <w:rsid w:val="00624E0B"/>
    <w:rsid w:val="00626214"/>
    <w:rsid w:val="00636269"/>
    <w:rsid w:val="00652C6E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B79C8"/>
    <w:rsid w:val="006D0DA2"/>
    <w:rsid w:val="006D74A5"/>
    <w:rsid w:val="006E1021"/>
    <w:rsid w:val="006E3EA9"/>
    <w:rsid w:val="00710EF2"/>
    <w:rsid w:val="00724648"/>
    <w:rsid w:val="00735BC3"/>
    <w:rsid w:val="00737B7E"/>
    <w:rsid w:val="00740FB0"/>
    <w:rsid w:val="007432EA"/>
    <w:rsid w:val="0074386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0119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921DC5"/>
    <w:rsid w:val="00935EC4"/>
    <w:rsid w:val="00952990"/>
    <w:rsid w:val="009540B8"/>
    <w:rsid w:val="00965823"/>
    <w:rsid w:val="00986349"/>
    <w:rsid w:val="00996EFF"/>
    <w:rsid w:val="009A3439"/>
    <w:rsid w:val="009A7F97"/>
    <w:rsid w:val="009B0108"/>
    <w:rsid w:val="009B1B98"/>
    <w:rsid w:val="009B7250"/>
    <w:rsid w:val="009C4A57"/>
    <w:rsid w:val="009D451A"/>
    <w:rsid w:val="009E2932"/>
    <w:rsid w:val="00A233FA"/>
    <w:rsid w:val="00A30550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A7F7C"/>
    <w:rsid w:val="00AB08FF"/>
    <w:rsid w:val="00AB179C"/>
    <w:rsid w:val="00AB3A76"/>
    <w:rsid w:val="00AB4A5D"/>
    <w:rsid w:val="00AC2CCB"/>
    <w:rsid w:val="00AC3865"/>
    <w:rsid w:val="00AC5AAF"/>
    <w:rsid w:val="00B00200"/>
    <w:rsid w:val="00B02D73"/>
    <w:rsid w:val="00B06075"/>
    <w:rsid w:val="00B06C33"/>
    <w:rsid w:val="00B16240"/>
    <w:rsid w:val="00B210E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DD1"/>
    <w:rsid w:val="00C278ED"/>
    <w:rsid w:val="00C30BAA"/>
    <w:rsid w:val="00C34AB5"/>
    <w:rsid w:val="00C44823"/>
    <w:rsid w:val="00C46EF8"/>
    <w:rsid w:val="00C510D5"/>
    <w:rsid w:val="00C5250A"/>
    <w:rsid w:val="00C57C99"/>
    <w:rsid w:val="00C61B22"/>
    <w:rsid w:val="00C636AC"/>
    <w:rsid w:val="00C70DF1"/>
    <w:rsid w:val="00C71573"/>
    <w:rsid w:val="00C90A4A"/>
    <w:rsid w:val="00C92323"/>
    <w:rsid w:val="00C94226"/>
    <w:rsid w:val="00C94613"/>
    <w:rsid w:val="00C95541"/>
    <w:rsid w:val="00C96820"/>
    <w:rsid w:val="00C9697E"/>
    <w:rsid w:val="00C97D18"/>
    <w:rsid w:val="00CA102B"/>
    <w:rsid w:val="00CA234A"/>
    <w:rsid w:val="00CB035B"/>
    <w:rsid w:val="00CB207F"/>
    <w:rsid w:val="00CB63C8"/>
    <w:rsid w:val="00CD2D4B"/>
    <w:rsid w:val="00CD505B"/>
    <w:rsid w:val="00CE1C59"/>
    <w:rsid w:val="00CE299B"/>
    <w:rsid w:val="00CE64A3"/>
    <w:rsid w:val="00CF6ACD"/>
    <w:rsid w:val="00CF74B6"/>
    <w:rsid w:val="00CF799B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402A4"/>
    <w:rsid w:val="00D54373"/>
    <w:rsid w:val="00D611AD"/>
    <w:rsid w:val="00D668F6"/>
    <w:rsid w:val="00D67212"/>
    <w:rsid w:val="00D71170"/>
    <w:rsid w:val="00D7710C"/>
    <w:rsid w:val="00D94D25"/>
    <w:rsid w:val="00D97448"/>
    <w:rsid w:val="00DB3985"/>
    <w:rsid w:val="00DB7063"/>
    <w:rsid w:val="00DB73BD"/>
    <w:rsid w:val="00DC01FE"/>
    <w:rsid w:val="00DC5C16"/>
    <w:rsid w:val="00DD1B16"/>
    <w:rsid w:val="00DD24EA"/>
    <w:rsid w:val="00DE4836"/>
    <w:rsid w:val="00DF1CEF"/>
    <w:rsid w:val="00DF4D8E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57196"/>
    <w:rsid w:val="00E57DEA"/>
    <w:rsid w:val="00E679EE"/>
    <w:rsid w:val="00E67F58"/>
    <w:rsid w:val="00E7329E"/>
    <w:rsid w:val="00E77271"/>
    <w:rsid w:val="00EA5D53"/>
    <w:rsid w:val="00EB4258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04248"/>
    <w:rsid w:val="00F23336"/>
    <w:rsid w:val="00F2735D"/>
    <w:rsid w:val="00F6396D"/>
    <w:rsid w:val="00F64FB6"/>
    <w:rsid w:val="00F67EBE"/>
    <w:rsid w:val="00F76B42"/>
    <w:rsid w:val="00F84091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AF19F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"/>
    <w:basedOn w:val="Normal"/>
    <w:link w:val="ListParagraphChar"/>
    <w:uiPriority w:val="34"/>
    <w:qFormat/>
    <w:rsid w:val="00083905"/>
    <w:pPr>
      <w:ind w:left="720"/>
      <w:contextualSpacing/>
    </w:p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basedOn w:val="DefaultParagraphFont"/>
    <w:link w:val="ListParagraph"/>
    <w:uiPriority w:val="34"/>
    <w:locked/>
    <w:rsid w:val="000839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0E86-EBD6-443C-ABFE-523FC267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Natia Gulua</cp:lastModifiedBy>
  <cp:revision>4</cp:revision>
  <cp:lastPrinted>2019-04-23T07:12:00Z</cp:lastPrinted>
  <dcterms:created xsi:type="dcterms:W3CDTF">2022-10-25T08:28:00Z</dcterms:created>
  <dcterms:modified xsi:type="dcterms:W3CDTF">2022-11-01T07:42:00Z</dcterms:modified>
</cp:coreProperties>
</file>